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4A" w:rsidRPr="00E97E4A" w:rsidRDefault="00E97E4A" w:rsidP="00E97E4A">
      <w:pPr>
        <w:rPr>
          <w:rFonts w:ascii="Arial" w:hAnsi="Arial" w:cs="Arial"/>
          <w:sz w:val="20"/>
          <w:szCs w:val="20"/>
          <w:lang w:val="sr-Cyrl-RS"/>
        </w:rPr>
      </w:pPr>
      <w:bookmarkStart w:id="0" w:name="_GoBack"/>
      <w:bookmarkEnd w:id="0"/>
    </w:p>
    <w:tbl>
      <w:tblPr>
        <w:tblStyle w:val="GridTable4"/>
        <w:tblW w:w="0" w:type="auto"/>
        <w:tblLayout w:type="fixed"/>
        <w:tblLook w:val="04A0" w:firstRow="1" w:lastRow="0" w:firstColumn="1" w:lastColumn="0" w:noHBand="0" w:noVBand="1"/>
      </w:tblPr>
      <w:tblGrid>
        <w:gridCol w:w="803"/>
        <w:gridCol w:w="992"/>
        <w:gridCol w:w="2764"/>
        <w:gridCol w:w="1106"/>
        <w:gridCol w:w="2880"/>
        <w:gridCol w:w="1593"/>
        <w:gridCol w:w="4252"/>
      </w:tblGrid>
      <w:tr w:rsidR="0017033A" w:rsidRPr="0017033A" w:rsidTr="0017033A">
        <w:trPr>
          <w:cnfStyle w:val="100000000000" w:firstRow="1" w:lastRow="0" w:firstColumn="0" w:lastColumn="0" w:oddVBand="0" w:evenVBand="0" w:oddHBand="0" w:evenHBand="0" w:firstRowFirstColumn="0" w:firstRowLastColumn="0" w:lastRowFirstColumn="0" w:lastRowLastColumn="0"/>
          <w:trHeight w:val="552"/>
          <w:tblHeader/>
        </w:trPr>
        <w:tc>
          <w:tcPr>
            <w:cnfStyle w:val="001000000000" w:firstRow="0" w:lastRow="0" w:firstColumn="1" w:lastColumn="0" w:oddVBand="0" w:evenVBand="0" w:oddHBand="0" w:evenHBand="0" w:firstRowFirstColumn="0" w:firstRowLastColumn="0" w:lastRowFirstColumn="0" w:lastRowLastColumn="0"/>
            <w:tcW w:w="14390" w:type="dxa"/>
            <w:gridSpan w:val="7"/>
            <w:shd w:val="clear" w:color="auto" w:fill="4472C4" w:themeFill="accent1"/>
          </w:tcPr>
          <w:p w:rsidR="0017033A" w:rsidRPr="0017033A" w:rsidRDefault="0017033A" w:rsidP="0017033A">
            <w:pPr>
              <w:tabs>
                <w:tab w:val="left" w:pos="1860"/>
              </w:tabs>
              <w:jc w:val="center"/>
              <w:rPr>
                <w:rFonts w:ascii="Arial" w:hAnsi="Arial" w:cs="Arial"/>
                <w:sz w:val="24"/>
                <w:szCs w:val="24"/>
              </w:rPr>
            </w:pPr>
            <w:r w:rsidRPr="0017033A">
              <w:rPr>
                <w:rFonts w:ascii="Times New Roman" w:hAnsi="Times New Roman" w:cs="Times New Roman"/>
                <w:sz w:val="24"/>
                <w:szCs w:val="24"/>
                <w:lang w:val="sr-Cyrl-RS"/>
              </w:rPr>
              <w:t>Прилог</w:t>
            </w:r>
            <w:r>
              <w:rPr>
                <w:rFonts w:ascii="Times New Roman" w:hAnsi="Times New Roman" w:cs="Times New Roman"/>
                <w:sz w:val="24"/>
                <w:szCs w:val="24"/>
                <w:lang w:val="sr-Cyrl-RS"/>
              </w:rPr>
              <w:t xml:space="preserve"> 2</w:t>
            </w:r>
            <w:r>
              <w:rPr>
                <w:rFonts w:ascii="Times New Roman" w:hAnsi="Times New Roman" w:cs="Times New Roman"/>
                <w:sz w:val="24"/>
                <w:szCs w:val="24"/>
                <w:lang w:val="sr-Cyrl-RS"/>
              </w:rPr>
              <w:t xml:space="preserve"> - </w:t>
            </w:r>
            <w:r w:rsidRPr="0017033A">
              <w:rPr>
                <w:rFonts w:ascii="Times New Roman" w:hAnsi="Times New Roman" w:cs="Times New Roman"/>
                <w:sz w:val="24"/>
                <w:szCs w:val="24"/>
                <w:lang w:val="sr-Cyrl-RS"/>
              </w:rPr>
              <w:t>Табела евалуације спровођења појединачних мера/активности по Акционом</w:t>
            </w:r>
            <w:r w:rsidRPr="0017033A">
              <w:rPr>
                <w:rFonts w:ascii="Times New Roman" w:eastAsia="Arial" w:hAnsi="Times New Roman" w:cs="Times New Roman"/>
                <w:sz w:val="24"/>
                <w:szCs w:val="24"/>
                <w:lang w:val="sr-Cyrl-RS"/>
              </w:rPr>
              <w:t xml:space="preserve"> плана за период</w:t>
            </w:r>
            <w:r>
              <w:rPr>
                <w:rFonts w:ascii="Times New Roman" w:eastAsia="Arial" w:hAnsi="Times New Roman" w:cs="Times New Roman"/>
                <w:sz w:val="24"/>
                <w:szCs w:val="24"/>
                <w:lang w:val="sr-Cyrl-RS"/>
              </w:rPr>
              <w:t xml:space="preserve"> 2017-2018</w:t>
            </w:r>
          </w:p>
        </w:tc>
      </w:tr>
      <w:tr w:rsidR="0017033A" w:rsidRPr="0017033A" w:rsidTr="0017033A">
        <w:trPr>
          <w:cnfStyle w:val="100000000000" w:firstRow="1" w:lastRow="0" w:firstColumn="0" w:lastColumn="0" w:oddVBand="0" w:evenVBand="0" w:oddHBand="0" w:evenHBand="0" w:firstRowFirstColumn="0" w:firstRowLastColumn="0" w:lastRowFirstColumn="0" w:lastRowLastColumn="0"/>
          <w:trHeight w:val="552"/>
          <w:tblHeader/>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hideMark/>
          </w:tcPr>
          <w:p w:rsidR="00E97E4A" w:rsidRPr="0017033A" w:rsidRDefault="00E97E4A" w:rsidP="00E97E4A">
            <w:pPr>
              <w:tabs>
                <w:tab w:val="left" w:pos="1860"/>
              </w:tabs>
              <w:rPr>
                <w:rFonts w:ascii="Arial" w:hAnsi="Arial" w:cs="Arial"/>
                <w:color w:val="auto"/>
                <w:sz w:val="20"/>
                <w:szCs w:val="20"/>
              </w:rPr>
            </w:pPr>
            <w:r w:rsidRPr="0017033A">
              <w:rPr>
                <w:rFonts w:ascii="Arial" w:hAnsi="Arial" w:cs="Arial"/>
                <w:color w:val="auto"/>
                <w:sz w:val="20"/>
                <w:szCs w:val="20"/>
              </w:rPr>
              <w:t>Група мера</w:t>
            </w:r>
          </w:p>
        </w:tc>
        <w:tc>
          <w:tcPr>
            <w:tcW w:w="992" w:type="dxa"/>
            <w:shd w:val="clear" w:color="auto" w:fill="8EAADB" w:themeFill="accent1" w:themeFillTint="99"/>
            <w:hideMark/>
          </w:tcPr>
          <w:p w:rsidR="00E97E4A" w:rsidRPr="0017033A" w:rsidRDefault="00E97E4A" w:rsidP="00E97E4A">
            <w:pPr>
              <w:tabs>
                <w:tab w:val="left" w:pos="1860"/>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sr-Cyrl-RS"/>
              </w:rPr>
            </w:pPr>
            <w:r w:rsidRPr="0017033A">
              <w:rPr>
                <w:rFonts w:ascii="Arial" w:hAnsi="Arial" w:cs="Arial"/>
                <w:color w:val="auto"/>
                <w:sz w:val="20"/>
                <w:szCs w:val="20"/>
                <w:lang w:val="sr-Cyrl-RS"/>
              </w:rPr>
              <w:t>Редни број активн.</w:t>
            </w:r>
          </w:p>
        </w:tc>
        <w:tc>
          <w:tcPr>
            <w:tcW w:w="2764" w:type="dxa"/>
            <w:shd w:val="clear" w:color="auto" w:fill="8EAADB" w:themeFill="accent1" w:themeFillTint="99"/>
            <w:hideMark/>
          </w:tcPr>
          <w:p w:rsidR="00E97E4A" w:rsidRPr="0017033A" w:rsidRDefault="00E97E4A" w:rsidP="00E97E4A">
            <w:pPr>
              <w:tabs>
                <w:tab w:val="left" w:pos="1860"/>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7033A">
              <w:rPr>
                <w:rFonts w:ascii="Arial" w:hAnsi="Arial" w:cs="Arial"/>
                <w:color w:val="auto"/>
                <w:sz w:val="20"/>
                <w:szCs w:val="20"/>
              </w:rPr>
              <w:t>Активност</w:t>
            </w:r>
          </w:p>
        </w:tc>
        <w:tc>
          <w:tcPr>
            <w:tcW w:w="1106" w:type="dxa"/>
            <w:shd w:val="clear" w:color="auto" w:fill="8EAADB" w:themeFill="accent1" w:themeFillTint="99"/>
            <w:hideMark/>
          </w:tcPr>
          <w:p w:rsidR="00E97E4A" w:rsidRPr="0017033A" w:rsidRDefault="00E97E4A" w:rsidP="00E97E4A">
            <w:pPr>
              <w:tabs>
                <w:tab w:val="left" w:pos="1860"/>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7033A">
              <w:rPr>
                <w:rFonts w:ascii="Arial" w:hAnsi="Arial" w:cs="Arial"/>
                <w:color w:val="auto"/>
                <w:sz w:val="20"/>
                <w:szCs w:val="20"/>
              </w:rPr>
              <w:t>Носилац</w:t>
            </w:r>
          </w:p>
        </w:tc>
        <w:tc>
          <w:tcPr>
            <w:tcW w:w="2880" w:type="dxa"/>
            <w:shd w:val="clear" w:color="auto" w:fill="8EAADB" w:themeFill="accent1" w:themeFillTint="99"/>
            <w:hideMark/>
          </w:tcPr>
          <w:p w:rsidR="00E97E4A" w:rsidRPr="0017033A" w:rsidRDefault="00E97E4A" w:rsidP="00E97E4A">
            <w:pPr>
              <w:tabs>
                <w:tab w:val="left" w:pos="1860"/>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7033A">
              <w:rPr>
                <w:rFonts w:ascii="Arial" w:hAnsi="Arial" w:cs="Arial"/>
                <w:color w:val="auto"/>
                <w:sz w:val="20"/>
                <w:szCs w:val="20"/>
              </w:rPr>
              <w:t>Статус спровођења (према извештавању радне групе)</w:t>
            </w:r>
          </w:p>
        </w:tc>
        <w:tc>
          <w:tcPr>
            <w:tcW w:w="1593" w:type="dxa"/>
            <w:shd w:val="clear" w:color="auto" w:fill="8EAADB" w:themeFill="accent1" w:themeFillTint="99"/>
            <w:hideMark/>
          </w:tcPr>
          <w:p w:rsidR="00E97E4A" w:rsidRPr="0017033A" w:rsidRDefault="00E97E4A" w:rsidP="00E97E4A">
            <w:pPr>
              <w:tabs>
                <w:tab w:val="left" w:pos="1860"/>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7033A">
              <w:rPr>
                <w:rFonts w:ascii="Arial" w:hAnsi="Arial" w:cs="Arial"/>
                <w:color w:val="auto"/>
                <w:sz w:val="20"/>
                <w:szCs w:val="20"/>
              </w:rPr>
              <w:t>Оцена о финалзацији од стране ГОПА тима</w:t>
            </w:r>
          </w:p>
        </w:tc>
        <w:tc>
          <w:tcPr>
            <w:tcW w:w="4252" w:type="dxa"/>
            <w:shd w:val="clear" w:color="auto" w:fill="8EAADB" w:themeFill="accent1" w:themeFillTint="99"/>
            <w:hideMark/>
          </w:tcPr>
          <w:p w:rsidR="00E97E4A" w:rsidRPr="0017033A" w:rsidRDefault="00E97E4A" w:rsidP="00E97E4A">
            <w:pPr>
              <w:tabs>
                <w:tab w:val="left" w:pos="1860"/>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7033A">
              <w:rPr>
                <w:rFonts w:ascii="Arial" w:hAnsi="Arial" w:cs="Arial"/>
                <w:color w:val="auto"/>
                <w:sz w:val="20"/>
                <w:szCs w:val="20"/>
              </w:rPr>
              <w:t>Коментар</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1</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1</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Прикупљање и систематизација података који ће бити садржани у метарегистру</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МДУЛС</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Завршено</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Нема екстерних извора верификације изузев самог Акционог плана.</w:t>
            </w:r>
          </w:p>
        </w:tc>
      </w:tr>
      <w:tr w:rsidR="00E97E4A" w:rsidRPr="00E97E4A" w:rsidTr="0017033A">
        <w:trPr>
          <w:trHeight w:val="1610"/>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1</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2</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Усвајање Нацрта закона о метарегистру (којим ће се регулисати шта је регистар, који су јавни регистри и ко је надлежан за успостављање и вођење појединих регистара)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МДУЛС</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Неће бити закон него уредба, усвајање почетком октобра.</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Влада је усвојила Уредба о начину вођења Метарегистра, начину одобравања, суспендовање и укидање приступа Сервисној магистрали органа и начину рада на Порталу еУправа ("Службени гласник РС", број 104 од 28. децембра 2018.)</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1</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3</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Успостављање шифарника за идентификацију који служи за повезивање података о физичким и правним лицима у различитим регистрима – 1- фаза</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Са РЗС договорено преузимање свих шифарника и успостављање новог шифарника надлежности</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485"/>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1</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4</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Успостављање Метарегистра (израда софтверског решења за Метарегистар) – 1.фаза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Није започето док се не усвоји уредба.</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Није припремљено софтверско решење за Метарегистар. Препорука је да се ова активност преузме у наредни Програм.</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1</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5</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Одређивање обухвата података у Централном регистру становништва (рођени, венчани, разведени, умрли, држављани, странци са боравиштем у Србији, итд)</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МДУЛС</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Усвојила га радна група</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Члан 10 Закона о Централном регистру становништва ("Службени гласник", бр. 17/2019) садржи списак свих евиденција које ће бити преузете у Централном регистру.</w:t>
            </w:r>
          </w:p>
        </w:tc>
      </w:tr>
      <w:tr w:rsidR="00E97E4A" w:rsidRPr="00E97E4A" w:rsidTr="0017033A">
        <w:trPr>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1</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6</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Усвојен нацрт прописа којим ће се регулисати успостављање и вођење регистра грађана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МДУЛС</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Сутра последњи састанак радне групе, у септембу иде на мишљења, усваја се до краја године.</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Народна скупштина је 14.3.2019. године усвојила Закон о Централном регистру становништва ("Службени гласник", бр. 17/2019)</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1</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7</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Успостављање Централни регистра становништва (израда софтверског решења миграција података)</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Припрема функционалне спецификације у току, тендер након усвајања закона. Повезују се матичне књиге са држављанством на локалу, а остали подаци мигрираће се након успостављања регистра, у првој половини 2019.</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Делимично</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 тренутку спровођења анализе, софтверско решење није било успостављено.</w:t>
            </w:r>
          </w:p>
        </w:tc>
      </w:tr>
      <w:tr w:rsidR="00E97E4A" w:rsidRPr="00E97E4A" w:rsidTr="0017033A">
        <w:trPr>
          <w:trHeight w:val="552"/>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1</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8</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Пилот пројекат унапређења Адресног регистра на подручју Града Лознице</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РГЗ</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завршено</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1</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9</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Доношење Измена и допуна Уредбе о адресном регистру</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РГЗ</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усвојена</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552"/>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1</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10</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Развој софтверског решења које ће се користити за унапређење адресног регистра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РГЗ</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завршено</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Извор верификације сам АП.</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1</w:t>
            </w:r>
          </w:p>
        </w:tc>
        <w:tc>
          <w:tcPr>
            <w:tcW w:w="99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11</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Доношење Закона о регистру просторних јединица и адресном регистру</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РГЗ</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Формирање радне групе у току.</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Закон о регистру просторних јединица и адресном регистру биће донет након усвајања Уредбе о адресном регистру. Уредба је донета у јуну 2017. године.</w:t>
            </w:r>
          </w:p>
        </w:tc>
      </w:tr>
      <w:tr w:rsidR="00E97E4A" w:rsidRPr="00E97E4A" w:rsidTr="0017033A">
        <w:trPr>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1</w:t>
            </w:r>
          </w:p>
        </w:tc>
        <w:tc>
          <w:tcPr>
            <w:tcW w:w="99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12</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Успостављање регистра локалних пореских администрација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 xml:space="preserve">У току миграција свих ЛПА у централни систем који се налази у ДАТА центру Канцеларија ИТЕ управља њиме. </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Делимично</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Извор верификације сам АП.</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1</w:t>
            </w:r>
          </w:p>
        </w:tc>
        <w:tc>
          <w:tcPr>
            <w:tcW w:w="99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13</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Успостављање регистра домаћих и страних туриста који бораве у РС</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Закон прошао Владу, утврђена је функционална спецификација.</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Делимично</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Народна скупштина је 14.3.2019. године усвојила Закон о туризму ("Службени гласник", бр. 36/2009, 88/2010, 99/2011 - др. закон, 93/2012, 84/2015, 83/2018 - др. закон и 17/2019 - др. Закон) који, између осталог, регулише и питање регистра.</w:t>
            </w:r>
          </w:p>
        </w:tc>
      </w:tr>
      <w:tr w:rsidR="00E97E4A" w:rsidRPr="00E97E4A" w:rsidTr="0017033A">
        <w:trPr>
          <w:trHeight w:val="1943"/>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2</w:t>
            </w:r>
          </w:p>
        </w:tc>
        <w:tc>
          <w:tcPr>
            <w:tcW w:w="99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1</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Усвојити Закон о електронском документу, електронској идентификацији и услугама од поверења у електронском  пословању, који ће:</w:t>
            </w:r>
            <w:r w:rsidRPr="00E97E4A">
              <w:rPr>
                <w:rFonts w:ascii="Arial" w:hAnsi="Arial" w:cs="Arial"/>
                <w:sz w:val="20"/>
                <w:szCs w:val="20"/>
              </w:rPr>
              <w:br/>
              <w:t>- уредити електронски документ (пуноважност и доказну снагу, форму приказа, оверу дигитализованог акта, оверу одштампаног примерка електронског документа, достављање електронских докумената између органа јавне власти и странака) и омогућити да се електронски документи признају као и папирни</w:t>
            </w:r>
            <w:r w:rsidRPr="00E97E4A">
              <w:rPr>
                <w:rFonts w:ascii="Arial" w:hAnsi="Arial" w:cs="Arial"/>
                <w:sz w:val="20"/>
                <w:szCs w:val="20"/>
              </w:rPr>
              <w:br/>
              <w:t>- регулисати шеме електронске идентификације (услове за шеме, нивое поузданости);</w:t>
            </w:r>
            <w:r w:rsidRPr="00E97E4A">
              <w:rPr>
                <w:rFonts w:ascii="Arial" w:hAnsi="Arial" w:cs="Arial"/>
                <w:sz w:val="20"/>
                <w:szCs w:val="20"/>
              </w:rPr>
              <w:br/>
              <w:t xml:space="preserve">-  регулисати квалификоване услуге од поверења (електронски потпис, електронски потпис у клауду, електронски печат, временски жиг, електронска достава, електронско чување докумената) које ће, између осталог, омогућити једноставну и јефтивну употребу квалификоване електронског сертификата (увођењем нове услуге </w:t>
            </w:r>
            <w:r w:rsidRPr="00E97E4A">
              <w:rPr>
                <w:rFonts w:ascii="Arial" w:hAnsi="Arial" w:cs="Arial"/>
                <w:sz w:val="20"/>
                <w:szCs w:val="20"/>
              </w:rPr>
              <w:lastRenderedPageBreak/>
              <w:t xml:space="preserve">квалификованог електронског потписа у клауду), омогућити размену документације у електронском облику и уништавање папирне документације (у складу са прописима којима се уређује канцелариско пословање) када је обезбеђења услуга квалификованог електронског чувања.  </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lastRenderedPageBreak/>
              <w:t>МТТТ</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усвојен</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Народна скупштина Републике Србије је усвојила Закон о електронском документу, електронској идентификацији и услугама од поверења у електронском  пословању ("Службени гласник", br. 94/2017)</w:t>
            </w:r>
            <w:r w:rsidRPr="00E97E4A">
              <w:rPr>
                <w:rFonts w:ascii="Arial" w:hAnsi="Arial" w:cs="Arial"/>
                <w:sz w:val="20"/>
                <w:szCs w:val="20"/>
              </w:rPr>
              <w:br/>
              <w:t xml:space="preserve">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2</w:t>
            </w:r>
          </w:p>
        </w:tc>
        <w:tc>
          <w:tcPr>
            <w:tcW w:w="99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2</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Доношење подзаконских аката (17) за примену закона, како би био у потпуности примењив. Анализа и нормирање стандарда ЕУ на које ће се ослањати подзаконска акта.</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МТТТ</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Усвојено/донето 12 ПЗА</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Делимично</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Извор верификације сам АП.</w:t>
            </w:r>
          </w:p>
        </w:tc>
      </w:tr>
      <w:tr w:rsidR="00E97E4A" w:rsidRPr="00E97E4A" w:rsidTr="0017033A">
        <w:trPr>
          <w:trHeight w:val="1380"/>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2</w:t>
            </w:r>
          </w:p>
        </w:tc>
        <w:tc>
          <w:tcPr>
            <w:tcW w:w="99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3</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Припремљен Нацрт закона о електронској управи, који уређује основне принципе инфраструктуре и интероперабилности, прописује основне јавне регистре, управљање документима односно канцеларијско пословање, нивои аутентикације и сл.)</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МДУЛС</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усвојен</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Нацрт припремљен 2017. године.</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2</w:t>
            </w:r>
          </w:p>
        </w:tc>
        <w:tc>
          <w:tcPr>
            <w:tcW w:w="99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4</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Дефинисање стандарда техничких услова за унутрашњу и спољашњу форму електронских документа у управним поступцима, као електронских форми у коју се уписују подаци неопходни за решавање у </w:t>
            </w:r>
            <w:r w:rsidRPr="00E97E4A">
              <w:rPr>
                <w:rFonts w:ascii="Arial" w:hAnsi="Arial" w:cs="Arial"/>
                <w:sz w:val="20"/>
                <w:szCs w:val="20"/>
              </w:rPr>
              <w:lastRenderedPageBreak/>
              <w:t>управним поступцима.</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lastRenderedPageBreak/>
              <w:t>ИТЕ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Прописано технички у листи стандарда интероперабилности, која је скоро ажурирана у марту 2018.</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Потребно је прописати и имплементирати обрасце за најчешће административне процедуре и обрасце за пословање управе како би се структурирали подаци за касније аутоматско импортовање у систем, што још увек није учињено.</w:t>
            </w:r>
          </w:p>
        </w:tc>
      </w:tr>
      <w:tr w:rsidR="00E97E4A" w:rsidRPr="00E97E4A" w:rsidTr="0017033A">
        <w:trPr>
          <w:trHeight w:val="2213"/>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2</w:t>
            </w:r>
          </w:p>
        </w:tc>
        <w:tc>
          <w:tcPr>
            <w:tcW w:w="99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5</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Јединственим општим актом уређен начин обављања канцелариског пословања јавне управе (припрема јединственог прописа о канцеларијском пословању која ће објединити и две важеће уредбе) у циљу припреме за безпапирно канцеларијско пословање.</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МДУЛС</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Није започето, планирано формирање радне групе и усвајање до краја године.</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На снази су паралелно два подзаконска акта - Уредба о канцеларијском пословању и Уредба о електронском пословању. Уредба о електронском пословању последњи пут је измењена 2017. године у циљу омогућавања спровођења обједињене процедуре за издавање е-грађевинске дозволе.</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248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2</w:t>
            </w:r>
          </w:p>
        </w:tc>
        <w:tc>
          <w:tcPr>
            <w:tcW w:w="99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6</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Израђена анализа сврсисходности постојања обавезе овере својеручног потписа као обавезне правне форме за пуноважност правног посла</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МП</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Није започето.</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Анализом треба да размотрити које правне послове је оправдано и даље вршити оверу код јавног бележника (послови где јавни бележник врши контролу законистости посла) од правних послова где само оверава потписе, у ком случају треба прописати потписивање квалификованим електронским потписом. Укинути оверу оснивчких аката изузев у случају акционарског друштва, код куповине половног моторног возила.</w:t>
            </w:r>
          </w:p>
        </w:tc>
      </w:tr>
      <w:tr w:rsidR="00E97E4A" w:rsidRPr="00E97E4A" w:rsidTr="0017033A">
        <w:trPr>
          <w:trHeight w:val="1656"/>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2</w:t>
            </w:r>
          </w:p>
        </w:tc>
        <w:tc>
          <w:tcPr>
            <w:tcW w:w="99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7</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Измена посебних прописа како би се омогућило закључење правног посла потписивањем квалификованим електронским сертификатом, односно својеручним потписом на ел. уређају (како би изворни документ настајао у електронском формату)</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МТТТ</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Уређено кроз ПЗА за аутентикацију и кв.ел.потпис. Није уређено за св.потпис на педу.</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Делимично</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Потребно је прописати пуноважност својеручног потписа на електронском уређају (педу) у процедурама пред јавном управом, као и у случају потписивања одређених докумената (отпремница и сл.)</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2</w:t>
            </w:r>
          </w:p>
        </w:tc>
        <w:tc>
          <w:tcPr>
            <w:tcW w:w="99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8</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Активна популаризација </w:t>
            </w:r>
            <w:r w:rsidRPr="00E97E4A">
              <w:rPr>
                <w:rFonts w:ascii="Arial" w:hAnsi="Arial" w:cs="Arial"/>
                <w:sz w:val="20"/>
                <w:szCs w:val="20"/>
              </w:rPr>
              <w:lastRenderedPageBreak/>
              <w:t>електронског документа и популаризација електронског општења уопште. Организовање практичних радионица за службенике, које би испратиле размену е-докумената у пословном односу две организације - увођење е-фактуре) у јавном сектору, који би служио као пример добре праксе.</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lastRenderedPageBreak/>
              <w:t xml:space="preserve">МТТТ, </w:t>
            </w:r>
            <w:r w:rsidRPr="00E97E4A">
              <w:rPr>
                <w:rFonts w:ascii="Arial" w:hAnsi="Arial" w:cs="Arial"/>
                <w:sz w:val="20"/>
                <w:szCs w:val="20"/>
              </w:rPr>
              <w:lastRenderedPageBreak/>
              <w:t>МДУЛС</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lastRenderedPageBreak/>
              <w:t xml:space="preserve">Спроведене обуке кроз </w:t>
            </w:r>
            <w:r w:rsidRPr="00E97E4A">
              <w:rPr>
                <w:rFonts w:ascii="Arial" w:hAnsi="Arial" w:cs="Arial"/>
                <w:sz w:val="20"/>
                <w:szCs w:val="20"/>
                <w:lang w:val="sr-Cyrl-CS"/>
              </w:rPr>
              <w:lastRenderedPageBreak/>
              <w:t>пројекат НАЛЕД-а (Ка администрацији без сувишних папира).</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lastRenderedPageBreak/>
              <w:t>Да</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Обуке су спроведене корз пројекат </w:t>
            </w:r>
            <w:r w:rsidRPr="00E97E4A">
              <w:rPr>
                <w:rFonts w:ascii="Arial" w:hAnsi="Arial" w:cs="Arial"/>
                <w:sz w:val="20"/>
                <w:szCs w:val="20"/>
              </w:rPr>
              <w:lastRenderedPageBreak/>
              <w:t>НАЛЕД-а "Ка администрацији без сувишних папира", који је подржао Good Governance Fund.</w:t>
            </w:r>
          </w:p>
        </w:tc>
      </w:tr>
      <w:tr w:rsidR="00E97E4A" w:rsidRPr="00E97E4A" w:rsidTr="0017033A">
        <w:trPr>
          <w:trHeight w:val="110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2</w:t>
            </w:r>
          </w:p>
        </w:tc>
        <w:tc>
          <w:tcPr>
            <w:tcW w:w="99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9</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Припрема упутстава и тренинга за све органе јавне управе на који начин се препознаје е-потпис, е-документ и како се спроводи електронско канцеларијско пословање.</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Спроведене обуке и припремљено упутство/водич.</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Активност преузети у нови Програм и наставити са њеним спровођењем.</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2</w:t>
            </w:r>
          </w:p>
        </w:tc>
        <w:tc>
          <w:tcPr>
            <w:tcW w:w="99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10</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Успостављање Централног система за размену порука квалификоване електронске доставе</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МТТT</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Спроводиће се по доношењу ПЗА</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Систем није успостављен, али је припремљен правни оквир јер Закон о електронском документу предвиђа његово постојање.</w:t>
            </w:r>
          </w:p>
        </w:tc>
      </w:tr>
      <w:tr w:rsidR="00E97E4A" w:rsidRPr="00E97E4A" w:rsidTr="0017033A">
        <w:trPr>
          <w:trHeight w:val="1380"/>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3</w:t>
            </w:r>
          </w:p>
        </w:tc>
        <w:tc>
          <w:tcPr>
            <w:tcW w:w="99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1</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Подзаконским актом прописати начине који се користе за нивое идентификације и аутентикације (нпр. оно што лице има, оно што зна и оно што јесте). </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МТТТ</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Усвојена уредба</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Влада Републике Србије је у марту 2018. усвојила Уредбу о ближем уређењу услова које морају да испуне шеме електронске идентификације за одређене нивое поузданости.</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3</w:t>
            </w:r>
          </w:p>
        </w:tc>
        <w:tc>
          <w:tcPr>
            <w:tcW w:w="99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2</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Дефинисати на основу анализе и прописати минималне нивое аутентикације лица за поједине поступке, пре свега управне (међусекторска активност) </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Сви органи јавне власти који имају резвијене или развијају електронске сервисе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Сами органи ће одредити наивое за сваки поступак према Закону о е управи (препоручени је средњи ниво).</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Децентрализовано је одлучивање по овом питању.</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Препорука је да се бављење овим питањем ипак централизује, у каталогу услуга за грађане, односно у регистру административних поступака за привреду дефинисати минималне нивое аутентикације за сваку услугу, како би се оне учиниле приступачнијим грађанима, а како би се избегло да нпр. локалне самоуправе не би требало да дају различите нивое аутентикације за исту врсту услуга/исти поступак.</w:t>
            </w:r>
          </w:p>
        </w:tc>
      </w:tr>
      <w:tr w:rsidR="00E97E4A" w:rsidRPr="00E97E4A" w:rsidTr="0017033A">
        <w:trPr>
          <w:trHeight w:val="593"/>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3</w:t>
            </w:r>
          </w:p>
        </w:tc>
        <w:tc>
          <w:tcPr>
            <w:tcW w:w="99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3</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Успоставити софтверско решење за обједињавање система за аутентикацију лица за коришћење јавних услуга (банке, телекомуникациони оператери, путем платних и кредитних картица, електронског банкарства, смс порука и сл.)</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Није започето, припрема функционалне спецификације у септембру и октобру и развој до краја године.</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Није успостављен модел за регистрацију корисника електронске управе на јединственом електронском месту (начин на који ће се утврђивати идентитет корисника у комуникацији са електронском управом)</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3</w:t>
            </w:r>
          </w:p>
        </w:tc>
        <w:tc>
          <w:tcPr>
            <w:tcW w:w="99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4</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Унапређење система коришћења квалификованог електронског сертрификата МУП-а, који подразумева могућност да се сертификат једноставно користи и једноставно интегрише у апликације на различитим уређајима без обзира на оперативни систем (андроид, иOС, MС...) </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МУП</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Ова активност обрисана из АП јер МУП није имао опредељена средства у буџету за 2018.</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Обрисано</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 нови Програм унети меру која ће се односити на стандардизацију квалификованог електронског потписа издатих од различитих провајдера и омогућавање пријема, односно отварања електронских документа потписаних квалификованим електронским поптисима без обзира на то који провајдера их је издао.</w:t>
            </w:r>
          </w:p>
        </w:tc>
      </w:tr>
      <w:tr w:rsidR="00E97E4A" w:rsidRPr="00E97E4A" w:rsidTr="0017033A">
        <w:trPr>
          <w:trHeight w:val="110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3</w:t>
            </w:r>
          </w:p>
        </w:tc>
        <w:tc>
          <w:tcPr>
            <w:tcW w:w="99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5</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Развити платформе које обезбеђују пружање електронских јавних услуга како би прихватале све регистроване шеме </w:t>
            </w:r>
            <w:r w:rsidRPr="00E97E4A">
              <w:rPr>
                <w:rFonts w:ascii="Arial" w:hAnsi="Arial" w:cs="Arial"/>
                <w:sz w:val="20"/>
                <w:szCs w:val="20"/>
              </w:rPr>
              <w:lastRenderedPageBreak/>
              <w:t xml:space="preserve">електронске идентификације (е-аутентикација и е-потпис). </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lastRenderedPageBreak/>
              <w:t>ИТЕ</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 xml:space="preserve">Није урађено, припрема функционалне спецификације у току за портал еУправа. Чека се пријава регистрованих </w:t>
            </w:r>
            <w:r w:rsidRPr="00E97E4A">
              <w:rPr>
                <w:rFonts w:ascii="Arial" w:hAnsi="Arial" w:cs="Arial"/>
                <w:sz w:val="20"/>
                <w:szCs w:val="20"/>
                <w:lang w:val="sr-Cyrl-CS"/>
              </w:rPr>
              <w:lastRenderedPageBreak/>
              <w:t>шема и имплементација решења на порталу.</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lastRenderedPageBreak/>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Преузети активност у оквиру мере која ће обухватити све везане активности.</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3</w:t>
            </w:r>
          </w:p>
        </w:tc>
        <w:tc>
          <w:tcPr>
            <w:tcW w:w="99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6</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Успоставити техничко решење квалификованог сертификата у клауду (клауд сертификат)</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МУП није спреман, приватни провајдери припремају своја решења до краја године.</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Размотрити да ли ову активност пребацити у нови програм, имајући у виду доступност средстава и потребу да држава мимо приватног сектора обезбеди услугу потписивања у клауду.</w:t>
            </w:r>
          </w:p>
        </w:tc>
      </w:tr>
      <w:tr w:rsidR="00E97E4A" w:rsidRPr="00E97E4A" w:rsidTr="0017033A">
        <w:trPr>
          <w:trHeight w:val="1380"/>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4</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1</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Изменити прописе на начин да се укине обавезно достављање доказа о извршеној уплати ради пружања јавне услуге</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МФ</w:t>
            </w:r>
            <w:r w:rsidRPr="00E97E4A">
              <w:rPr>
                <w:rFonts w:ascii="Arial" w:hAnsi="Arial" w:cs="Arial"/>
                <w:sz w:val="20"/>
                <w:szCs w:val="20"/>
              </w:rPr>
              <w:br/>
              <w:t>МДУЛС</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Није започето.</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Препорука је да се Законом о општем управном поступку и Законом о електронској управи изричито забрани јавном органу тражење доказа о уплати ради пружања јавне услуге и да се ван снаге ставе све одредбе у свим осталим прописама којима се предвиђа таква обавеза.</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220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4</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2</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Обезбедити позив на број или на други адекватан начин омогућити да подаци о извршеном плаћању у реалном времену стигну телу надлежном за пружање услуге/наплату средстава, на основу којих орган јавне власти који поступа има податак о уплатиоцу, износу и сврси уплате, те да корисник услуге није обавезан да доставља доказе о плаћању као обавезан корак у поступку</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МФ</w:t>
            </w:r>
            <w:r w:rsidRPr="00E97E4A">
              <w:rPr>
                <w:rFonts w:ascii="Arial" w:hAnsi="Arial" w:cs="Arial"/>
                <w:sz w:val="20"/>
                <w:szCs w:val="20"/>
              </w:rPr>
              <w:br/>
              <w:t>УТ</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Функционише само на порталу еУправа</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Делимично</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Препорука је да се измени Закон о буџетском систему, Закон о републичким административним таксама и Закон о електронској управи тако да се пропише обавеза органа јавне управе да обезбеди странкама позив на број са којим ће се вршити уплате тако да се те уплате могу једноставно проверавати, односно упарити са уплатиоцем и предметом. Могућа алтернатива: ову обавезу прописати неким подзаконским актом - Правилник о условима и начину вођења рачуна за уплату јавних прихода.</w:t>
            </w:r>
          </w:p>
        </w:tc>
      </w:tr>
      <w:tr w:rsidR="00E97E4A" w:rsidRPr="00E97E4A" w:rsidTr="0017033A">
        <w:trPr>
          <w:trHeight w:val="1682"/>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4</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3</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Увести могућност плаћања јавних услуга преко пос терминала на шалтерима </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МФ</w:t>
            </w:r>
            <w:r w:rsidRPr="00E97E4A">
              <w:rPr>
                <w:rFonts w:ascii="Arial" w:hAnsi="Arial" w:cs="Arial"/>
                <w:sz w:val="20"/>
                <w:szCs w:val="20"/>
              </w:rPr>
              <w:br/>
              <w:t>УТ</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Уведено у МУП-саобраћајна полиција, РГЗ, Град Београд</w:t>
            </w:r>
          </w:p>
        </w:tc>
        <w:tc>
          <w:tcPr>
            <w:tcW w:w="1593" w:type="dxa"/>
            <w:shd w:val="clear" w:color="auto" w:fill="FFFFFF" w:themeFill="background1"/>
            <w:hideMark/>
          </w:tcPr>
          <w:p w:rsid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Делимично</w:t>
            </w:r>
          </w:p>
          <w:p w:rsidR="00E97E4A" w:rsidRPr="00E97E4A" w:rsidRDefault="00E97E4A" w:rsidP="00E97E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E97E4A" w:rsidRPr="00E97E4A" w:rsidRDefault="00E97E4A" w:rsidP="00E97E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E97E4A" w:rsidRDefault="00E97E4A" w:rsidP="00E97E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E97E4A" w:rsidRPr="00E97E4A" w:rsidRDefault="00E97E4A" w:rsidP="00E97E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E97E4A" w:rsidRDefault="00E97E4A" w:rsidP="00E97E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E97E4A" w:rsidRDefault="00E97E4A" w:rsidP="00E97E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E97E4A" w:rsidRDefault="00E97E4A" w:rsidP="00E97E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E97E4A" w:rsidRPr="00E97E4A" w:rsidRDefault="00E97E4A" w:rsidP="00E97E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Преузети у нови Програм и наставити са увођењем у другим јавним институцијама. Размотрити могућност да се у случају плаћања безготовинског трошак трансакције пребаци на буџет (подстицајна мера у циљу развоја безготовинског плаћања и смањења употребе готовог новца, и смањења злоупотреба код класичних уплатница).</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4</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4</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Омогућавање плаћања преко веб и мобилних апликација за услуге које имају могућност електронског плаћања</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МФ</w:t>
            </w:r>
            <w:r w:rsidRPr="00E97E4A">
              <w:rPr>
                <w:rFonts w:ascii="Arial" w:hAnsi="Arial" w:cs="Arial"/>
                <w:sz w:val="20"/>
                <w:szCs w:val="20"/>
              </w:rPr>
              <w:br/>
              <w:t xml:space="preserve">УТ </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Урађено је за веб апликације на порталу еУправе, преко Комерцијалне банке</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Делимично</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Од 8.000 јавних услуга које су идентификоване кроз анализе, само 400 се могу спроводити електронски, а чак ни за свих тих 400 није омогућено електронско онлајн плаћање током спровођења електронске процедуре.</w:t>
            </w:r>
          </w:p>
        </w:tc>
      </w:tr>
      <w:tr w:rsidR="00E97E4A" w:rsidRPr="00E97E4A" w:rsidTr="0017033A">
        <w:trPr>
          <w:trHeight w:val="683"/>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5</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1</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Усвајање Нацрта закона о архивској грађи и архивској делатности</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МКИ</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Радна група до краја септембра израђује нацрт и објавује јавну расправу. Усвајање планирано до краја године.</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Министарство културе покренуло јавну расправу 31.12.2018. о Нацрту закона која ће трајати до 29.1.2019.Линк: http://www.kultura.gov.rs/lat/dokumenti/javne-rasprave/javna-rasprava-o-nacrtu-zakona-o-arhivskoj-gradji-i-arhivskoj-delatnosti/analiza-efekta-nacrta-zakona-o-arhivskoj-gradji-i-arhivskoj-delatnosti</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5</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2</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Утврђивање листе стандарда које мора да испуњава тело за оцењивање усаглашености и доношење уредбе о условима за поуздано електронско чување документа у складу са претходно донетим Законом о електронском документу, електронској идентификацији и услугама од поверења у електронском пословању</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МТТТ</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Припремљено, послато на финални круг копнсултација</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220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5</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3</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Израда анализе постојећег стања и потреба постојеће и потребне инфраструктуре и архивске грађе државних органа надлежних за електронско архивирање за успостављање електронске архиве и израда Студије изводљивости успостављања електронског архива (информационог система за трајно чување докумената у електронском облику који представљају архивску грађу)</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МКИ</w:t>
            </w:r>
            <w:r w:rsidRPr="00E97E4A">
              <w:rPr>
                <w:rFonts w:ascii="Arial" w:hAnsi="Arial" w:cs="Arial"/>
                <w:sz w:val="20"/>
                <w:szCs w:val="20"/>
              </w:rPr>
              <w:br/>
              <w:t>МДУЛС</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Анализа израђена и до краја септембра ће бити објављена</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Студија је објављена на порталу "Питајте када", подржана од Good Governance Fund-a.</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5</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4</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Израда анализе рокова и облика чувања пословне и административне документације са препорукама за измену прописа и практична унапређења. Измена уредбе којом се уређују категорије регистратурског материјала с роковима чувања.</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МДУЛС </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Припремљен модел уредбе и усаглашено обједињавање са уредбом о канцеларијском пословању, која ће бити ирађена до краја 2018.</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Студија је објављена на порталу "Питајте када", подржана од Good Governance Fund-a.</w:t>
            </w:r>
          </w:p>
        </w:tc>
      </w:tr>
      <w:tr w:rsidR="00E97E4A" w:rsidRPr="00E97E4A" w:rsidTr="0017033A">
        <w:trPr>
          <w:trHeight w:val="220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5</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5</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Прописивање прекршајне одговорности органа јавне власти за непризнавање дигитализованог документа који се чувају у складу са законом и чији изворни документи су уништени ради омогућавања коришћења и признавања </w:t>
            </w:r>
            <w:r w:rsidRPr="00E97E4A">
              <w:rPr>
                <w:rFonts w:ascii="Arial" w:hAnsi="Arial" w:cs="Arial"/>
                <w:sz w:val="20"/>
                <w:szCs w:val="20"/>
              </w:rPr>
              <w:lastRenderedPageBreak/>
              <w:t>дигитализованих аката (Унети у казнене одредбе Закона о електронској управи)</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lastRenderedPageBreak/>
              <w:t>МДУЛС</w:t>
            </w:r>
            <w:r w:rsidRPr="00E97E4A">
              <w:rPr>
                <w:rFonts w:ascii="Arial" w:hAnsi="Arial" w:cs="Arial"/>
                <w:sz w:val="20"/>
                <w:szCs w:val="20"/>
              </w:rPr>
              <w:br/>
              <w:t>Управни инспекторат</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Није прописано</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6</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1</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Анализа а) тренутних хардверских капацитета државних органа и организација б) процена потребних хардверских и складиштених капацитета за успостављање државног клауда ц) потребних средстава за обезбеђивање потребног хардвера.</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урађено</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552"/>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6</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2</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Донета одлука о локацијама дата центра (једног или више њих)</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Влада РС</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Изабран Крагујевац</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6</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3</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Анализа спремности постојећих система за коришћење у државном клауду</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Влада РС</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Није урађено</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Преузети у нови Програм.</w:t>
            </w:r>
          </w:p>
        </w:tc>
      </w:tr>
      <w:tr w:rsidR="00E97E4A" w:rsidRPr="00E97E4A" w:rsidTr="0017033A">
        <w:trPr>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6</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4</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Анализа потреба органа за новим апликацијама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Није урађено. Органи ће се сами пријављивати по потреби.</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Преузети у нови Програм, али дефинисати предмет анализе.</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6</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5</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Припремљен Акциони план повезивања адекватних апликација на државном клауду, надоградњу апликација, односно израду нових уколико не постоји начин да се употребе на клауду</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Није урађено, ангажован консултант који ће урадити анализу.</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Размотрити могућност преузимања ове мере у Програм и њеног редефинисања имајући у виду да је потребно претходно дефинисати услуге које ће бити засноване на клауд технологији / пружати кроз клауд.</w:t>
            </w:r>
          </w:p>
        </w:tc>
      </w:tr>
      <w:tr w:rsidR="00E97E4A" w:rsidRPr="00E97E4A" w:rsidTr="0017033A">
        <w:trPr>
          <w:trHeight w:val="28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6</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6</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Усвојен акт којим се дефинише оквир и тип клауда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Припремљен ПЗА за дата центар.</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Подзаконски акт за дата центар није усвојен.</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6</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7</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Успостављање националног тела за имплементацију, управљање и одржавање државног клауда и у сваком органу одредити ИТ лице за комуникацију</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Влада РС</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Формирана радна група за дата центар</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Препорука је да се пјача координација консултаната који раде на овом пројекту, Канцеларије за ИТ и партнера из приватног сектора.</w:t>
            </w:r>
          </w:p>
        </w:tc>
      </w:tr>
      <w:tr w:rsidR="00E97E4A" w:rsidRPr="00E97E4A" w:rsidTr="0017033A">
        <w:trPr>
          <w:trHeight w:val="110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6</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8</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Усвојен стандард технологија израде државног клауда које би требало да буду заступљене кроз сервисе на клауду у складу са потребама (методогија развоја, технички оквири и сл.) </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Консултант ће испоручити анализу 2019. (КОТРА и УНДП пројекти)</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6</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9</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Усвајање подзаконског акта којим ће се прописати стандард за континуитет рада (disaster recovery standard) и одржавање хардвера</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 припреми је ПЗА</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552"/>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6</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10</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Донет акт којим се прописује контрола усаглашености апликација органа са прописаним условима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МДУЛС </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Неће постојати</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Обрисано</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6</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11</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Успостављен државни клауд који ће обухватити апликације спремне за коришћење на клауду (1. фаза)</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 xml:space="preserve">У току набавка опреме </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Поптисан уговор са Ораклом о набавци хардвера и лиценци.</w:t>
            </w:r>
          </w:p>
        </w:tc>
      </w:tr>
      <w:tr w:rsidR="00E97E4A" w:rsidRPr="00E97E4A" w:rsidTr="0017033A">
        <w:trPr>
          <w:trHeight w:val="1380"/>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6</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12</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Припремити програме обуке за: 1) корисничке тренинге: коришћење клауд платформи, управљање ризиком, заштиту података 2) тренинге за ИТ експерте: додатна обука за успостављање континуитета и високог нивоа стручности ИТ особља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МДУЛС</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 xml:space="preserve">Предвиђено пројектима који се спроводе у 2019. </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6</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13</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Унапређење регулаторног оквира за заштиту података о личности који се налазе на клауду и локацији података о личности</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МП</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Нацрт закона на мишљењима.</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Делимично</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6</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14</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Припрема Предлога закона о изменама и допунама Закона о информационој безбедности у циљу усклађивања са новом европском регулативом</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МТТТ</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 току формирање радне групе</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6</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15</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Доношење интерних докумената и упутства органа за безбедно коришћење клауда, заштиту података о личности, анализу ризика </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Сви органи чије апликације се користе на клауду</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Већина органа нема, односно не примењује акт о безбедености</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6</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16</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Успоставити техничко решење за идентификовање, квалификацију и реаговање инциденте на мрежи државних органа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ИТЕ </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Успостављено само за национални ЦЕРТ</w:t>
            </w:r>
            <w:r w:rsidRPr="00E97E4A">
              <w:rPr>
                <w:rFonts w:ascii="Arial" w:hAnsi="Arial" w:cs="Arial"/>
                <w:sz w:val="20"/>
                <w:szCs w:val="20"/>
                <w:lang w:val="sr-Cyrl-CS"/>
              </w:rPr>
              <w:br/>
              <w:t>Донаторска средства  300.000 € (средства нису обезбеђена)</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Делимично</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6</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17</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Анализа ефеката спроведених активности и израда плана даље надоградње државног клауда повезивањем нових апликација (2. Фаза)</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ИТЕ </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КОТРА ради анализу државног дата центра у 2019.</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110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7</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1</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Усвајање Закона о електронској управи којим ће се регулисати начин отварања налога на Порталу, аутентикација, начин коришћења Портала од стране корисника услуга и обавезе органа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МДУЛС</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усвојен</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7</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2</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Доношење подзаконског акта који ће уредити начин постављања и ажурирања садржаја и функционалности на Порталу</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МДУЛС</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Биће усвојени до октобра</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1656"/>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7</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3</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Функционални редизајн Портала, прегледног и на мобилним уређајима уз унапређење постојећих модула; имплементација новог начина креирања налога и провере идентитета корисника и повезивање са Метарегистром (пред органом или коришћењем квалификованог сертификата)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ИТЕ </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 току припрема функционалне спецификације, портал треба да буде направљен до марта 2019.</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7</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4</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Успостављање модула на Порталу за размену података из регистара еЗУП </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Успостављено за 20 регистара који имају техничке могућности.</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Делимично</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7</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5</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Генерисање електронских образаца (захтева) за вођење управних поступака у које ће се аутоматски попуњавати подаци из службених евиденција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Припрема нових образааца у току (спроводи СКГО, РСЈП, ГИЗ)</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7</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6</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Успостављање јединственог електронског сандучета за електронску доставу</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RS"/>
              </w:rPr>
              <w:t>Није започето, биће успостављено до половине 2019.</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82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7</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7</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Успостављање новог начина креирања налога и провере идентитета корисника за приступ подацима из регистара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Није започето, биће успостављено до половине 2019.</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7</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8</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Формирање Координационог тела за унапређење електронских услуга (анализа постојећег правног и техничког оквира и предлагање нових решења - апликације на мобилним телефонима и др.) </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Формиран Координациони савет за еУправу у новембру 2017.</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110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7</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9</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Успостављање одабраних нових услуга и унапређење постојећих услуга за грађане на Порталу еУправа прилагођеним мобилним апликацијама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Није започето, биће до краја 2019.</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7</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10</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Успостављање одабраних нових сервиса за привреду на Порталу еУправа прилагођени мобилним уређајима (нпр. пријава пореза на имовину за обвезнике који воде пословне књиге)</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Није започето, биће до краја 2019.</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110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lastRenderedPageBreak/>
              <w:t>7</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11</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Успостављање софтверског решења еИнспектор и набавка опреме</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За 4 инспекције почиње примена до краја 2018. А до средине 2019. за 32 републичке инспекције</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Не</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Није још увек започето. У новембру и децембру 2018. године инспектори Тржишне инспекције, Инспекције рада, Управног инспектората и Санитарне инспекције пролазили су кроз обуку у Српско-корејском центру.</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8</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1</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Приступање Повељи за отворене податке (Open Data Charter)</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Влада РС</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Потписана повеља</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1104"/>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8</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2</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Законски дефинисати право на поновну употребу података, обавезу за објављивање података у отвореним форматима и уредити Портал отворених података.</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МДУЛС</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Уређено Законом о еУправи</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cnfStyle w:val="000000100000" w:firstRow="0" w:lastRow="0" w:firstColumn="0" w:lastColumn="0" w:oddVBand="0" w:evenVBand="0" w:oddHBand="1" w:evenHBand="0" w:firstRowFirstColumn="0" w:firstRowLastColumn="0" w:lastRowFirstColumn="0" w:lastRowLastColumn="0"/>
          <w:trHeight w:val="1656"/>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8</w:t>
            </w:r>
          </w:p>
        </w:tc>
        <w:tc>
          <w:tcPr>
            <w:tcW w:w="992" w:type="dxa"/>
            <w:shd w:val="clear" w:color="auto" w:fill="FFFFFF" w:themeFill="background1"/>
            <w:noWrap/>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3</w:t>
            </w:r>
          </w:p>
        </w:tc>
        <w:tc>
          <w:tcPr>
            <w:tcW w:w="2764"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Унапређење дизајна и функционалности Портала отворених података – успостављање приступа евиденцијама насталим у раду органа јавне управе кроз АПИ и друге моделе и уношење статистиких података (индикатори, шифарници, класификације, геопросторни подаци, итд).</w:t>
            </w:r>
          </w:p>
        </w:tc>
        <w:tc>
          <w:tcPr>
            <w:tcW w:w="1106"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Унапређене функционалности</w:t>
            </w:r>
          </w:p>
        </w:tc>
        <w:tc>
          <w:tcPr>
            <w:tcW w:w="1593"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r w:rsidR="00E97E4A" w:rsidRPr="00E97E4A" w:rsidTr="0017033A">
        <w:trPr>
          <w:trHeight w:val="71"/>
        </w:trPr>
        <w:tc>
          <w:tcPr>
            <w:cnfStyle w:val="001000000000" w:firstRow="0" w:lastRow="0" w:firstColumn="1" w:lastColumn="0" w:oddVBand="0" w:evenVBand="0" w:oddHBand="0" w:evenHBand="0" w:firstRowFirstColumn="0" w:firstRowLastColumn="0" w:lastRowFirstColumn="0" w:lastRowLastColumn="0"/>
            <w:tcW w:w="803" w:type="dxa"/>
            <w:shd w:val="clear" w:color="auto" w:fill="8EAADB" w:themeFill="accent1" w:themeFillTint="99"/>
            <w:noWrap/>
            <w:hideMark/>
          </w:tcPr>
          <w:p w:rsidR="00E97E4A" w:rsidRPr="00E97E4A" w:rsidRDefault="00E97E4A" w:rsidP="00E97E4A">
            <w:pPr>
              <w:tabs>
                <w:tab w:val="left" w:pos="1860"/>
              </w:tabs>
              <w:rPr>
                <w:rFonts w:ascii="Arial" w:hAnsi="Arial" w:cs="Arial"/>
                <w:sz w:val="20"/>
                <w:szCs w:val="20"/>
              </w:rPr>
            </w:pPr>
            <w:r w:rsidRPr="00E97E4A">
              <w:rPr>
                <w:rFonts w:ascii="Arial" w:hAnsi="Arial" w:cs="Arial"/>
                <w:sz w:val="20"/>
                <w:szCs w:val="20"/>
              </w:rPr>
              <w:t>8</w:t>
            </w:r>
          </w:p>
        </w:tc>
        <w:tc>
          <w:tcPr>
            <w:tcW w:w="992" w:type="dxa"/>
            <w:shd w:val="clear" w:color="auto" w:fill="FFFFFF" w:themeFill="background1"/>
            <w:noWrap/>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4</w:t>
            </w:r>
          </w:p>
        </w:tc>
        <w:tc>
          <w:tcPr>
            <w:tcW w:w="2764"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xml:space="preserve">Организација тематских хакатона у циљу промовисања  концепта отворених података </w:t>
            </w:r>
          </w:p>
        </w:tc>
        <w:tc>
          <w:tcPr>
            <w:tcW w:w="1106"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ИТЕ</w:t>
            </w:r>
          </w:p>
        </w:tc>
        <w:tc>
          <w:tcPr>
            <w:tcW w:w="2880"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lang w:val="sr-Cyrl-CS"/>
              </w:rPr>
              <w:t>Организована недеља отворених података у мају 2018. Отворен јавни позив за израду апликација на отвореним подацима.</w:t>
            </w:r>
          </w:p>
        </w:tc>
        <w:tc>
          <w:tcPr>
            <w:tcW w:w="1593"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Да</w:t>
            </w:r>
          </w:p>
        </w:tc>
        <w:tc>
          <w:tcPr>
            <w:tcW w:w="4252" w:type="dxa"/>
            <w:shd w:val="clear" w:color="auto" w:fill="FFFFFF" w:themeFill="background1"/>
            <w:hideMark/>
          </w:tcPr>
          <w:p w:rsidR="00E97E4A" w:rsidRPr="00E97E4A" w:rsidRDefault="00E97E4A" w:rsidP="00E97E4A">
            <w:pPr>
              <w:tabs>
                <w:tab w:val="left" w:pos="186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7E4A">
              <w:rPr>
                <w:rFonts w:ascii="Arial" w:hAnsi="Arial" w:cs="Arial"/>
                <w:sz w:val="20"/>
                <w:szCs w:val="20"/>
              </w:rPr>
              <w:t> </w:t>
            </w:r>
          </w:p>
        </w:tc>
      </w:tr>
    </w:tbl>
    <w:p w:rsidR="00E97E4A" w:rsidRPr="00E97E4A" w:rsidRDefault="00E97E4A" w:rsidP="00E97E4A">
      <w:pPr>
        <w:tabs>
          <w:tab w:val="left" w:pos="1860"/>
        </w:tabs>
        <w:rPr>
          <w:rFonts w:ascii="Arial" w:hAnsi="Arial" w:cs="Arial"/>
          <w:sz w:val="20"/>
          <w:szCs w:val="20"/>
          <w:lang w:val="sr-Cyrl-RS"/>
        </w:rPr>
      </w:pPr>
    </w:p>
    <w:sectPr w:rsidR="00E97E4A" w:rsidRPr="00E97E4A" w:rsidSect="000A340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BB"/>
    <w:rsid w:val="000A340E"/>
    <w:rsid w:val="0017033A"/>
    <w:rsid w:val="00460D68"/>
    <w:rsid w:val="0061424D"/>
    <w:rsid w:val="00C35BBB"/>
    <w:rsid w:val="00E0619D"/>
    <w:rsid w:val="00E97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
    <w:name w:val="Grid Table 4"/>
    <w:basedOn w:val="TableNormal"/>
    <w:uiPriority w:val="49"/>
    <w:rsid w:val="00E97E4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
    <w:name w:val="Grid Table 4"/>
    <w:basedOn w:val="TableNormal"/>
    <w:uiPriority w:val="49"/>
    <w:rsid w:val="00E97E4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4782">
      <w:bodyDiv w:val="1"/>
      <w:marLeft w:val="0"/>
      <w:marRight w:val="0"/>
      <w:marTop w:val="0"/>
      <w:marBottom w:val="0"/>
      <w:divBdr>
        <w:top w:val="none" w:sz="0" w:space="0" w:color="auto"/>
        <w:left w:val="none" w:sz="0" w:space="0" w:color="auto"/>
        <w:bottom w:val="none" w:sz="0" w:space="0" w:color="auto"/>
        <w:right w:val="none" w:sz="0" w:space="0" w:color="auto"/>
      </w:divBdr>
    </w:div>
    <w:div w:id="437525380">
      <w:bodyDiv w:val="1"/>
      <w:marLeft w:val="0"/>
      <w:marRight w:val="0"/>
      <w:marTop w:val="0"/>
      <w:marBottom w:val="0"/>
      <w:divBdr>
        <w:top w:val="none" w:sz="0" w:space="0" w:color="auto"/>
        <w:left w:val="none" w:sz="0" w:space="0" w:color="auto"/>
        <w:bottom w:val="none" w:sz="0" w:space="0" w:color="auto"/>
        <w:right w:val="none" w:sz="0" w:space="0" w:color="auto"/>
      </w:divBdr>
    </w:div>
    <w:div w:id="1801804356">
      <w:bodyDiv w:val="1"/>
      <w:marLeft w:val="0"/>
      <w:marRight w:val="0"/>
      <w:marTop w:val="0"/>
      <w:marBottom w:val="0"/>
      <w:divBdr>
        <w:top w:val="none" w:sz="0" w:space="0" w:color="auto"/>
        <w:left w:val="none" w:sz="0" w:space="0" w:color="auto"/>
        <w:bottom w:val="none" w:sz="0" w:space="0" w:color="auto"/>
        <w:right w:val="none" w:sz="0" w:space="0" w:color="auto"/>
      </w:divBdr>
    </w:div>
    <w:div w:id="19392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3393</Words>
  <Characters>19343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Pedja Mitrovic</dc:creator>
  <cp:lastModifiedBy>George</cp:lastModifiedBy>
  <cp:revision>3</cp:revision>
  <dcterms:created xsi:type="dcterms:W3CDTF">2019-06-13T22:52:00Z</dcterms:created>
  <dcterms:modified xsi:type="dcterms:W3CDTF">2019-06-24T11:22:00Z</dcterms:modified>
</cp:coreProperties>
</file>